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58F" w:rsidRDefault="0031158F" w:rsidP="0031158F">
      <w:pPr>
        <w:spacing w:after="0"/>
        <w:ind w:left="3969" w:right="-143"/>
        <w:rPr>
          <w:rFonts w:ascii="Times New Roman" w:hAnsi="Times New Roman"/>
          <w:b/>
          <w:sz w:val="28"/>
          <w:szCs w:val="28"/>
        </w:rPr>
      </w:pPr>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r w:rsidR="00CD5270">
        <w:rPr>
          <w:rFonts w:ascii="Times New Roman" w:hAnsi="Times New Roman" w:cs="Times New Roman"/>
          <w:b/>
          <w:color w:val="auto"/>
          <w:sz w:val="32"/>
          <w:szCs w:val="32"/>
        </w:rPr>
        <w:t xml:space="preserve"> </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C00896">
              <w:rPr>
                <w:rFonts w:ascii="Times New Roman" w:hAnsi="Times New Roman"/>
                <w:sz w:val="28"/>
              </w:rPr>
              <w:softHyphen/>
              <w:t>но</w:t>
            </w:r>
            <w:r w:rsidRPr="00C00896">
              <w:rPr>
                <w:rFonts w:ascii="Times New Roman" w:hAnsi="Times New Roman"/>
                <w:sz w:val="28"/>
              </w:rPr>
              <w:softHyphen/>
              <w:t>в</w:t>
            </w:r>
            <w:r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C00896">
              <w:rPr>
                <w:rFonts w:ascii="Times New Roman" w:hAnsi="Times New Roman"/>
                <w:sz w:val="28"/>
              </w:rPr>
              <w:softHyphen/>
              <w:t>зуль</w:t>
            </w:r>
            <w:r w:rsidRPr="00C00896">
              <w:rPr>
                <w:rFonts w:ascii="Times New Roman" w:hAnsi="Times New Roman"/>
                <w:sz w:val="28"/>
              </w:rPr>
              <w:softHyphen/>
              <w:t>та</w:t>
            </w:r>
            <w:r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2"/>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3"/>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4"/>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5"/>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6"/>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7"/>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8"/>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9"/>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 xml:space="preserve">ных функций важнейших </w:t>
      </w:r>
      <w:r>
        <w:rPr>
          <w:rFonts w:ascii="Times New Roman" w:hAnsi="Times New Roman" w:cs="Times New Roman"/>
          <w:sz w:val="28"/>
          <w:szCs w:val="28"/>
        </w:rPr>
        <w:lastRenderedPageBreak/>
        <w:t>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 xml:space="preserve">витых грибов. Правила сбора грибов. Оказание первой помощи при отравлении </w:t>
      </w:r>
      <w:r>
        <w:rPr>
          <w:rFonts w:ascii="Times New Roman" w:hAnsi="Times New Roman" w:cs="Times New Roman"/>
          <w:sz w:val="28"/>
          <w:szCs w:val="28"/>
        </w:rPr>
        <w:lastRenderedPageBreak/>
        <w:t>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BA6FD1">
      <w:pPr>
        <w:shd w:val="clear" w:color="auto" w:fill="FFFFFF"/>
        <w:spacing w:after="0" w:line="360" w:lineRule="auto"/>
        <w:ind w:firstLine="709"/>
        <w:jc w:val="both"/>
        <w:rPr>
          <w:rFonts w:ascii="Times New Roman" w:hAnsi="Times New Roman" w:cs="Times New Roman"/>
          <w:b/>
          <w:bCs/>
          <w:sz w:val="28"/>
          <w:szCs w:val="28"/>
        </w:rPr>
      </w:pPr>
      <w:r w:rsidRPr="00BA6FD1">
        <w:rPr>
          <w:noProof/>
          <w:lang w:eastAsia="ru-RU"/>
        </w:rPr>
        <w:pict>
          <v:line id="_x0000_s1026" style="position:absolute;left:0;text-align:left;z-index:251654656;mso-position-horizontal-relative:margin" from="719.05pt,248.15pt" to="719.05pt,328.3pt" strokeweight=".18mm">
            <v:stroke joinstyle="miter" endcap="square"/>
            <w10:wrap anchorx="margin"/>
          </v:line>
        </w:pict>
      </w:r>
      <w:r w:rsidRPr="00BA6FD1">
        <w:rPr>
          <w:noProof/>
          <w:lang w:eastAsia="ru-RU"/>
        </w:rPr>
        <w:pict>
          <v:line id="_x0000_s1027" style="position:absolute;left:0;text-align:left;z-index:251655680;mso-position-horizontal-relative:margin" from="722.9pt,519.85pt" to="722.9pt,542.4pt"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BA6FD1">
      <w:pPr>
        <w:spacing w:after="0" w:line="360" w:lineRule="auto"/>
        <w:ind w:firstLine="709"/>
        <w:jc w:val="center"/>
        <w:rPr>
          <w:rFonts w:ascii="Times New Roman" w:hAnsi="Times New Roman" w:cs="Times New Roman"/>
          <w:color w:val="auto"/>
          <w:sz w:val="28"/>
          <w:szCs w:val="28"/>
        </w:rPr>
      </w:pPr>
      <w:r w:rsidRPr="00BA6FD1">
        <w:rPr>
          <w:noProof/>
          <w:lang w:eastAsia="ru-RU"/>
        </w:rPr>
        <w:pict>
          <v:group id="Группа 18" o:spid="_x0000_s1028" style="position:absolute;left:0;text-align:left;margin-left:1.6pt;margin-top:-11.55pt;width:.1pt;height:342.7pt;z-index:251656704;mso-wrap-distance-left:0;mso-wrap-distance-right:0;mso-position-horizontal-relative:page" coordorigin="32,-231" coordsize="2,6854">
            <o:lock v:ext="edit" text="t"/>
            <v:shape id="Freeform 3" o:spid="_x0000_s1029"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BA6FD1">
      <w:pPr>
        <w:pStyle w:val="af5"/>
        <w:spacing w:after="0" w:line="360" w:lineRule="auto"/>
        <w:ind w:firstLine="709"/>
        <w:jc w:val="both"/>
        <w:rPr>
          <w:rFonts w:ascii="Times New Roman" w:hAnsi="Times New Roman"/>
          <w:sz w:val="28"/>
          <w:szCs w:val="28"/>
        </w:rPr>
      </w:pPr>
      <w:r w:rsidRPr="00BA6FD1">
        <w:rPr>
          <w:noProof/>
          <w:lang w:eastAsia="ru-RU"/>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BA6FD1" w:rsidRPr="00BA6FD1">
        <w:rPr>
          <w:noProof/>
          <w:lang w:eastAsia="ru-RU"/>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BA6FD1">
      <w:pPr>
        <w:pStyle w:val="af5"/>
        <w:spacing w:after="0" w:line="360" w:lineRule="auto"/>
        <w:ind w:firstLine="709"/>
        <w:jc w:val="both"/>
        <w:rPr>
          <w:rFonts w:ascii="Times New Roman" w:hAnsi="Times New Roman"/>
          <w:i/>
          <w:color w:val="auto"/>
          <w:sz w:val="28"/>
          <w:szCs w:val="28"/>
        </w:rPr>
      </w:pPr>
      <w:r w:rsidRPr="00BA6FD1">
        <w:rPr>
          <w:noProof/>
          <w:lang w:eastAsia="ru-RU"/>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BA6FD1">
      <w:pPr>
        <w:pStyle w:val="af5"/>
        <w:spacing w:after="0" w:line="360" w:lineRule="auto"/>
        <w:ind w:firstLine="709"/>
        <w:jc w:val="both"/>
        <w:rPr>
          <w:rFonts w:ascii="Times New Roman" w:hAnsi="Times New Roman"/>
          <w:b/>
          <w:i/>
          <w:color w:val="auto"/>
          <w:sz w:val="28"/>
          <w:szCs w:val="28"/>
        </w:rPr>
      </w:pPr>
      <w:r w:rsidRPr="00BA6FD1">
        <w:rPr>
          <w:noProof/>
          <w:lang w:eastAsia="ru-RU"/>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2"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862"/>
      </w:tblGrid>
      <w:tr w:rsidR="005B5BE4">
        <w:trPr>
          <w:trHeight w:val="518"/>
        </w:trPr>
        <w:tc>
          <w:tcPr>
            <w:tcW w:w="9193"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005"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8C300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005"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8C300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005"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8C3006">
        <w:trPr>
          <w:trHeight w:hRule="exact" w:val="907"/>
        </w:trPr>
        <w:tc>
          <w:tcPr>
            <w:tcW w:w="9193" w:type="dxa"/>
            <w:gridSpan w:val="12"/>
            <w:tcBorders>
              <w:top w:val="single" w:sz="4" w:space="0" w:color="auto"/>
              <w:bottom w:val="single" w:sz="4" w:space="0" w:color="auto"/>
            </w:tcBorders>
          </w:tcPr>
          <w:p w:rsidR="008C3006" w:rsidRPr="008C3006" w:rsidRDefault="008C3006" w:rsidP="008C3006">
            <w:pPr>
              <w:pStyle w:val="afe"/>
            </w:pPr>
          </w:p>
        </w:tc>
      </w:tr>
      <w:tr w:rsidR="005B5BE4" w:rsidTr="008C3006">
        <w:trPr>
          <w:trHeight w:hRule="exact" w:val="907"/>
        </w:trPr>
        <w:tc>
          <w:tcPr>
            <w:tcW w:w="9193"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8C300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            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862"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862"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265"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862"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2235"/>
        <w:gridCol w:w="2551"/>
        <w:gridCol w:w="851"/>
        <w:gridCol w:w="850"/>
        <w:gridCol w:w="851"/>
        <w:gridCol w:w="850"/>
        <w:gridCol w:w="1005"/>
      </w:tblGrid>
      <w:tr w:rsidR="005B5BE4">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Pr="0090169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line="240" w:lineRule="auto"/>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709"/>
        <w:gridCol w:w="567"/>
        <w:gridCol w:w="142"/>
        <w:gridCol w:w="850"/>
        <w:gridCol w:w="10"/>
      </w:tblGrid>
      <w:tr w:rsidR="005B5BE4">
        <w:tc>
          <w:tcPr>
            <w:tcW w:w="9200"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52"/>
        <w:gridCol w:w="2977"/>
        <w:gridCol w:w="708"/>
        <w:gridCol w:w="709"/>
        <w:gridCol w:w="709"/>
        <w:gridCol w:w="709"/>
        <w:gridCol w:w="567"/>
        <w:gridCol w:w="850"/>
        <w:gridCol w:w="10"/>
      </w:tblGrid>
      <w:tr w:rsidR="005B5BE4">
        <w:tc>
          <w:tcPr>
            <w:tcW w:w="9342" w:type="dxa"/>
            <w:gridSpan w:val="10"/>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Pr>
                <w:rFonts w:ascii="Times New Roman" w:hAnsi="Times New Roman" w:cs="Times New Roman"/>
                <w:color w:val="auto"/>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36"/>
        <w:gridCol w:w="1961"/>
        <w:gridCol w:w="4111"/>
        <w:gridCol w:w="850"/>
        <w:gridCol w:w="142"/>
        <w:gridCol w:w="709"/>
        <w:gridCol w:w="850"/>
        <w:gridCol w:w="861"/>
      </w:tblGrid>
      <w:tr w:rsidR="005B5BE4">
        <w:tc>
          <w:tcPr>
            <w:tcW w:w="24" w:type="dxa"/>
          </w:tcPr>
          <w:p w:rsidR="005B5BE4" w:rsidRDefault="005B5BE4">
            <w:pPr>
              <w:pStyle w:val="afff5"/>
            </w:pPr>
          </w:p>
        </w:tc>
        <w:tc>
          <w:tcPr>
            <w:tcW w:w="9484"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4"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4"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c>
          <w:tcPr>
            <w:tcW w:w="6096"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412"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trPr>
          <w:trHeight w:val="983"/>
        </w:trPr>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trPr>
          <w:trHeight w:val="584"/>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w:t>
            </w:r>
            <w:r>
              <w:rPr>
                <w:rFonts w:ascii="Times New Roman" w:hAnsi="Times New Roman" w:cs="Times New Roman"/>
                <w:b/>
                <w:i/>
                <w:iCs/>
                <w:color w:val="auto"/>
                <w:sz w:val="28"/>
                <w:szCs w:val="28"/>
              </w:rPr>
              <w:softHyphen/>
              <w:t>с</w:t>
            </w:r>
            <w:r>
              <w:rPr>
                <w:rFonts w:ascii="Times New Roman" w:hAnsi="Times New Roman" w:cs="Times New Roman"/>
                <w:b/>
                <w:i/>
                <w:iCs/>
                <w:color w:val="auto"/>
                <w:sz w:val="28"/>
                <w:szCs w:val="28"/>
              </w:rPr>
              <w:softHyphen/>
              <w:t>т</w:t>
            </w:r>
            <w:r>
              <w:rPr>
                <w:rFonts w:ascii="Times New Roman" w:hAnsi="Times New Roman" w:cs="Times New Roman"/>
                <w:b/>
                <w:i/>
                <w:iCs/>
                <w:color w:val="auto"/>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trPr>
          <w:trHeight w:val="557"/>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trPr>
          <w:trHeight w:val="406"/>
        </w:trPr>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tc>
          <w:tcPr>
            <w:tcW w:w="24"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61"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w:t>
            </w:r>
            <w:r>
              <w:rPr>
                <w:rFonts w:ascii="Times New Roman" w:hAnsi="Times New Roman" w:cs="Times New Roman"/>
                <w:b/>
                <w:sz w:val="28"/>
                <w:szCs w:val="28"/>
              </w:rPr>
              <w:softHyphen/>
              <w:t>ви</w:t>
            </w:r>
            <w:r>
              <w:rPr>
                <w:rFonts w:ascii="Times New Roman" w:hAnsi="Times New Roman" w:cs="Times New Roman"/>
                <w:b/>
                <w:sz w:val="28"/>
                <w:szCs w:val="28"/>
              </w:rPr>
              <w:softHyphen/>
              <w:t>ва</w:t>
            </w:r>
            <w:r>
              <w:rPr>
                <w:rFonts w:ascii="Times New Roman" w:hAnsi="Times New Roman" w:cs="Times New Roman"/>
                <w:b/>
                <w:sz w:val="28"/>
                <w:szCs w:val="28"/>
              </w:rPr>
              <w:softHyphen/>
              <w:t>ю</w:t>
            </w:r>
            <w:r>
              <w:rPr>
                <w:rFonts w:ascii="Times New Roman" w:hAnsi="Times New Roman" w:cs="Times New Roman"/>
                <w:b/>
                <w:sz w:val="28"/>
                <w:szCs w:val="28"/>
              </w:rPr>
              <w:softHyphen/>
              <w:t>щая область (ко</w:t>
            </w:r>
            <w:r>
              <w:rPr>
                <w:rFonts w:ascii="Times New Roman" w:hAnsi="Times New Roman" w:cs="Times New Roman"/>
                <w:b/>
                <w:sz w:val="28"/>
                <w:szCs w:val="28"/>
              </w:rPr>
              <w:softHyphen/>
              <w:t>р</w:t>
            </w:r>
            <w:r>
              <w:rPr>
                <w:rFonts w:ascii="Times New Roman" w:hAnsi="Times New Roman" w:cs="Times New Roman"/>
                <w:b/>
                <w:sz w:val="28"/>
                <w:szCs w:val="28"/>
              </w:rPr>
              <w:softHyphen/>
              <w:t>ре</w:t>
            </w:r>
            <w:r>
              <w:rPr>
                <w:rFonts w:ascii="Times New Roman" w:hAnsi="Times New Roman" w:cs="Times New Roman"/>
                <w:b/>
                <w:sz w:val="28"/>
                <w:szCs w:val="28"/>
              </w:rPr>
              <w:softHyphen/>
              <w:t>к</w:t>
            </w:r>
            <w:r>
              <w:rPr>
                <w:rFonts w:ascii="Times New Roman" w:hAnsi="Times New Roman" w:cs="Times New Roman"/>
                <w:b/>
                <w:sz w:val="28"/>
                <w:szCs w:val="28"/>
              </w:rPr>
              <w:softHyphen/>
              <w:t>ци</w:t>
            </w:r>
            <w:r>
              <w:rPr>
                <w:rFonts w:ascii="Times New Roman" w:hAnsi="Times New Roman" w:cs="Times New Roman"/>
                <w:b/>
                <w:sz w:val="28"/>
                <w:szCs w:val="28"/>
              </w:rPr>
              <w:softHyphen/>
              <w:t>он</w:t>
            </w:r>
            <w:r>
              <w:rPr>
                <w:rFonts w:ascii="Times New Roman" w:hAnsi="Times New Roman" w:cs="Times New Roman"/>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8C3006" w:rsidRDefault="008C300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10"/>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1"/>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2"/>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5" w:name="_Toc226190167"/>
      <w:bookmarkStart w:id="6" w:name="_Toc226190323"/>
      <w:bookmarkStart w:id="7" w:name="_Toc226190373"/>
      <w:bookmarkStart w:id="8" w:name="_Toc236725319"/>
      <w:bookmarkEnd w:id="5"/>
      <w:bookmarkEnd w:id="6"/>
      <w:bookmarkEnd w:id="7"/>
      <w:bookmarkEnd w:id="8"/>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3"/>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4"/>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63F" w:rsidRDefault="0041463F">
      <w:pPr>
        <w:spacing w:after="0" w:line="240" w:lineRule="auto"/>
      </w:pPr>
      <w:r>
        <w:separator/>
      </w:r>
    </w:p>
  </w:endnote>
  <w:endnote w:type="continuationSeparator" w:id="1">
    <w:p w:rsidR="0041463F" w:rsidRDefault="00414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9B" w:rsidRDefault="00BA6FD1">
    <w:pPr>
      <w:pStyle w:val="affb"/>
      <w:jc w:val="center"/>
    </w:pPr>
    <w:r>
      <w:rPr>
        <w:sz w:val="24"/>
        <w:szCs w:val="24"/>
      </w:rPr>
      <w:fldChar w:fldCharType="begin"/>
    </w:r>
    <w:r w:rsidR="00963D9B">
      <w:rPr>
        <w:sz w:val="24"/>
        <w:szCs w:val="24"/>
      </w:rPr>
      <w:instrText xml:space="preserve"> PAGE </w:instrText>
    </w:r>
    <w:r>
      <w:rPr>
        <w:sz w:val="24"/>
        <w:szCs w:val="24"/>
      </w:rPr>
      <w:fldChar w:fldCharType="separate"/>
    </w:r>
    <w:r w:rsidR="00CD5270">
      <w:rPr>
        <w:noProof/>
        <w:sz w:val="24"/>
        <w:szCs w:val="24"/>
      </w:rPr>
      <w:t>167</w:t>
    </w:r>
    <w:r>
      <w:rPr>
        <w:sz w:val="24"/>
        <w:szCs w:val="24"/>
      </w:rPr>
      <w:fldChar w:fldCharType="end"/>
    </w:r>
  </w:p>
  <w:p w:rsidR="00963D9B" w:rsidRDefault="00963D9B">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63F" w:rsidRDefault="0041463F">
      <w:pPr>
        <w:spacing w:after="0" w:line="240" w:lineRule="auto"/>
      </w:pPr>
      <w:r>
        <w:separator/>
      </w:r>
    </w:p>
  </w:footnote>
  <w:footnote w:type="continuationSeparator" w:id="1">
    <w:p w:rsidR="0041463F" w:rsidRDefault="0041463F">
      <w:pPr>
        <w:spacing w:after="0" w:line="240" w:lineRule="auto"/>
      </w:pPr>
      <w:r>
        <w:continuationSeparator/>
      </w:r>
    </w:p>
  </w:footnote>
  <w:footnote w:id="2">
    <w:p w:rsidR="00403AD6" w:rsidRDefault="00963D9B">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403AD6" w:rsidRDefault="00963D9B">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403AD6" w:rsidRDefault="00963D9B">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403AD6" w:rsidRDefault="00963D9B">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6">
    <w:p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03AD6" w:rsidRDefault="00403AD6">
      <w:pPr>
        <w:suppressAutoHyphens w:val="0"/>
        <w:spacing w:after="280" w:line="240" w:lineRule="auto"/>
        <w:jc w:val="both"/>
      </w:pPr>
    </w:p>
  </w:footnote>
  <w:footnote w:id="7">
    <w:p w:rsidR="00963D9B" w:rsidRDefault="00963D9B">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403AD6" w:rsidRDefault="00403AD6">
      <w:pPr>
        <w:pStyle w:val="afe"/>
        <w:jc w:val="both"/>
      </w:pPr>
    </w:p>
  </w:footnote>
  <w:footnote w:id="8">
    <w:p w:rsidR="00963D9B" w:rsidRDefault="00963D9B">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403AD6" w:rsidRDefault="00403AD6">
      <w:pPr>
        <w:suppressAutoHyphens w:val="0"/>
        <w:spacing w:after="280" w:line="240" w:lineRule="auto"/>
        <w:jc w:val="both"/>
      </w:pPr>
    </w:p>
  </w:footnote>
  <w:footnote w:id="9">
    <w:p w:rsidR="00403AD6" w:rsidRDefault="00963D9B">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10">
    <w:p w:rsidR="00403AD6" w:rsidRDefault="00963D9B">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1">
    <w:p w:rsidR="00403AD6" w:rsidRDefault="00963D9B"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2">
    <w:p w:rsidR="00403AD6" w:rsidRDefault="00963D9B"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3">
    <w:p w:rsidR="00963D9B" w:rsidRDefault="00963D9B"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03AD6" w:rsidRDefault="00403AD6" w:rsidP="00BC1A8E">
      <w:pPr>
        <w:pStyle w:val="afc"/>
      </w:pPr>
    </w:p>
  </w:footnote>
  <w:footnote w:id="14">
    <w:p w:rsidR="00963D9B" w:rsidRDefault="00963D9B"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03AD6" w:rsidRDefault="00403AD6"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14B30"/>
    <w:rsid w:val="0011797E"/>
    <w:rsid w:val="001A7CFB"/>
    <w:rsid w:val="001B2946"/>
    <w:rsid w:val="001B6DD6"/>
    <w:rsid w:val="001D2C3B"/>
    <w:rsid w:val="001F26A1"/>
    <w:rsid w:val="00212F13"/>
    <w:rsid w:val="002150B2"/>
    <w:rsid w:val="00233A04"/>
    <w:rsid w:val="00240C78"/>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D0461"/>
    <w:rsid w:val="003D5BA2"/>
    <w:rsid w:val="003E4D41"/>
    <w:rsid w:val="003E7C8D"/>
    <w:rsid w:val="0040036A"/>
    <w:rsid w:val="00401A4A"/>
    <w:rsid w:val="004037B1"/>
    <w:rsid w:val="00403AD6"/>
    <w:rsid w:val="0041463F"/>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3D9B"/>
    <w:rsid w:val="00985875"/>
    <w:rsid w:val="00995D5F"/>
    <w:rsid w:val="009A0D46"/>
    <w:rsid w:val="009C5F8A"/>
    <w:rsid w:val="009C6E30"/>
    <w:rsid w:val="009D32D9"/>
    <w:rsid w:val="00A01004"/>
    <w:rsid w:val="00A0312D"/>
    <w:rsid w:val="00A23B27"/>
    <w:rsid w:val="00A5013F"/>
    <w:rsid w:val="00A72E75"/>
    <w:rsid w:val="00A920F2"/>
    <w:rsid w:val="00A93A40"/>
    <w:rsid w:val="00AA4C52"/>
    <w:rsid w:val="00AA6B7D"/>
    <w:rsid w:val="00AB0165"/>
    <w:rsid w:val="00AC645A"/>
    <w:rsid w:val="00AD1550"/>
    <w:rsid w:val="00B022E4"/>
    <w:rsid w:val="00B02BEB"/>
    <w:rsid w:val="00B345F5"/>
    <w:rsid w:val="00B37F81"/>
    <w:rsid w:val="00B52011"/>
    <w:rsid w:val="00B70010"/>
    <w:rsid w:val="00B72C18"/>
    <w:rsid w:val="00B76E12"/>
    <w:rsid w:val="00B80D6C"/>
    <w:rsid w:val="00B81F57"/>
    <w:rsid w:val="00B84FF6"/>
    <w:rsid w:val="00B854BD"/>
    <w:rsid w:val="00B86D19"/>
    <w:rsid w:val="00B879B0"/>
    <w:rsid w:val="00BA507A"/>
    <w:rsid w:val="00BA6FD1"/>
    <w:rsid w:val="00BC1A8E"/>
    <w:rsid w:val="00BD6DBA"/>
    <w:rsid w:val="00BE2403"/>
    <w:rsid w:val="00BE2E4D"/>
    <w:rsid w:val="00BF4A30"/>
    <w:rsid w:val="00C00896"/>
    <w:rsid w:val="00C17E8F"/>
    <w:rsid w:val="00C311FB"/>
    <w:rsid w:val="00C43BF6"/>
    <w:rsid w:val="00C558CF"/>
    <w:rsid w:val="00C614D3"/>
    <w:rsid w:val="00C915D5"/>
    <w:rsid w:val="00CA3984"/>
    <w:rsid w:val="00CA5A3D"/>
    <w:rsid w:val="00CB5796"/>
    <w:rsid w:val="00CD26D4"/>
    <w:rsid w:val="00CD347D"/>
    <w:rsid w:val="00CD5270"/>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b/>
      <w:bC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70291362/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ACC8-0F9C-4F10-AD33-EF36C1D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168</Pages>
  <Words>116524</Words>
  <Characters>664191</Characters>
  <Application>Microsoft Office Word</Application>
  <DocSecurity>0</DocSecurity>
  <Lines>5534</Lines>
  <Paragraphs>1558</Paragraphs>
  <ScaleCrop>false</ScaleCrop>
  <Company>Microsoft</Company>
  <LinksUpToDate>false</LinksUpToDate>
  <CharactersWithSpaces>779157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Юрист</cp:lastModifiedBy>
  <cp:revision>4</cp:revision>
  <cp:lastPrinted>2015-10-19T09:35:00Z</cp:lastPrinted>
  <dcterms:created xsi:type="dcterms:W3CDTF">2015-12-29T08:45:00Z</dcterms:created>
  <dcterms:modified xsi:type="dcterms:W3CDTF">2016-06-01T07:52:00Z</dcterms:modified>
</cp:coreProperties>
</file>